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RAM</w:t>
            </w:r>
            <w:r w:rsidRPr="00E658E1">
              <w:rPr>
                <w:sz w:val="24"/>
                <w:szCs w:val="24"/>
              </w:rPr>
              <w:t xml:space="preserve"> </w:t>
            </w:r>
            <w:r w:rsidRPr="005C3241">
              <w:rPr>
                <w:sz w:val="24"/>
                <w:szCs w:val="24"/>
                <w:lang w:val="en-US"/>
              </w:rPr>
              <w:t>A</w:t>
            </w:r>
            <w:r w:rsidRPr="00E658E1">
              <w:rPr>
                <w:sz w:val="24"/>
                <w:szCs w:val="24"/>
              </w:rPr>
              <w:t xml:space="preserve"> </w:t>
            </w:r>
            <w:r w:rsidRPr="005C3241">
              <w:rPr>
                <w:sz w:val="24"/>
                <w:szCs w:val="24"/>
                <w:lang w:val="en-US"/>
              </w:rPr>
              <w:t>BULLET</w:t>
            </w:r>
            <w:r w:rsidRPr="00E658E1">
              <w:rPr>
                <w:sz w:val="24"/>
                <w:szCs w:val="24"/>
              </w:rPr>
              <w:t xml:space="preserve"> </w:t>
            </w:r>
            <w:r w:rsidRPr="005C3241">
              <w:rPr>
                <w:sz w:val="24"/>
                <w:szCs w:val="24"/>
                <w:lang w:val="en-US"/>
              </w:rPr>
              <w:t>YOUR</w:t>
            </w:r>
            <w:r w:rsidRPr="00E658E1">
              <w:rPr>
                <w:sz w:val="24"/>
                <w:szCs w:val="24"/>
              </w:rPr>
              <w:t xml:space="preserve"> </w:t>
            </w:r>
            <w:r w:rsidRPr="005C3241">
              <w:rPr>
                <w:sz w:val="24"/>
                <w:szCs w:val="24"/>
                <w:lang w:val="en-US"/>
              </w:rPr>
              <w:t>NECK</w:t>
            </w:r>
            <w:r w:rsidRPr="00E658E1">
              <w:rPr>
                <w:sz w:val="24"/>
                <w:szCs w:val="24"/>
              </w:rPr>
              <w:t xml:space="preserve">», </w:t>
            </w:r>
            <w:r w:rsidRPr="005C3241">
              <w:rPr>
                <w:sz w:val="24"/>
                <w:szCs w:val="24"/>
              </w:rPr>
              <w:t xml:space="preserve">плакатснадписью«Русское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w:t>
            </w:r>
            <w:r w:rsidRPr="005C3241">
              <w:rPr>
                <w:sz w:val="24"/>
                <w:szCs w:val="24"/>
              </w:rPr>
              <w:lastRenderedPageBreak/>
              <w:t>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CE26E9"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ПриближайсякИегове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решениеПервомайскогорайонногосудаг</w:t>
            </w:r>
            <w:r w:rsidRPr="005C3241">
              <w:rPr>
                <w:sz w:val="24"/>
                <w:szCs w:val="24"/>
                <w:lang w:val="en-US"/>
              </w:rPr>
              <w:t xml:space="preserve">. </w:t>
            </w:r>
            <w:r w:rsidRPr="005C3241">
              <w:rPr>
                <w:sz w:val="24"/>
                <w:szCs w:val="24"/>
              </w:rPr>
              <w:t>Краснодараот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решениеСоветскогорайонногосудаСтавропольскогокраяот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решениеКунцевскогорайонногосудаг</w:t>
            </w:r>
            <w:r w:rsidRPr="005C3241">
              <w:rPr>
                <w:sz w:val="24"/>
                <w:szCs w:val="24"/>
                <w:lang w:val="en-US"/>
              </w:rPr>
              <w:t xml:space="preserve">. </w:t>
            </w:r>
            <w:r w:rsidRPr="005C3241">
              <w:rPr>
                <w:sz w:val="24"/>
                <w:szCs w:val="24"/>
              </w:rPr>
              <w:t>Москвыот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решениеСоветскогорайонногосудаСтавропольскогокраяот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Видеоматериалысназваниями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МитингвКазани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855F8B"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МузыкаКаконавлияетнавас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ТерроризмВчемегопричина</w:t>
            </w:r>
            <w:r w:rsidRPr="005C3241">
              <w:rPr>
                <w:sz w:val="24"/>
                <w:szCs w:val="24"/>
                <w:lang w:val="en-US"/>
              </w:rPr>
              <w:t xml:space="preserve">? </w:t>
            </w:r>
            <w:r w:rsidRPr="005C3241">
              <w:rPr>
                <w:sz w:val="24"/>
                <w:szCs w:val="24"/>
              </w:rPr>
              <w:t>Когдаснимбудетпокончено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ИисусОткудаонпришел</w:t>
            </w:r>
            <w:r w:rsidRPr="005C3241">
              <w:rPr>
                <w:sz w:val="24"/>
                <w:szCs w:val="24"/>
                <w:lang w:val="en-US"/>
              </w:rPr>
              <w:t xml:space="preserve">? </w:t>
            </w:r>
            <w:r w:rsidRPr="005C3241">
              <w:rPr>
                <w:sz w:val="24"/>
                <w:szCs w:val="24"/>
              </w:rPr>
              <w:t>Каконжил</w:t>
            </w:r>
            <w:r w:rsidRPr="005C3241">
              <w:rPr>
                <w:sz w:val="24"/>
                <w:szCs w:val="24"/>
                <w:lang w:val="en-US"/>
              </w:rPr>
              <w:t xml:space="preserve">? </w:t>
            </w:r>
            <w:r w:rsidRPr="005C3241">
              <w:rPr>
                <w:sz w:val="24"/>
                <w:szCs w:val="24"/>
              </w:rPr>
              <w:t>Почемуонумер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Каксохранитьсчастьевбраке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ДуховныймирКтовнемобитает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Человекчудотворения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Каксправитьсяспотерейблизкогочеловека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решениеМатвеево</w:t>
            </w:r>
            <w:r w:rsidRPr="005C3241">
              <w:rPr>
                <w:sz w:val="24"/>
                <w:szCs w:val="24"/>
                <w:lang w:val="en-US"/>
              </w:rPr>
              <w:t>-</w:t>
            </w:r>
            <w:r w:rsidRPr="005C3241">
              <w:rPr>
                <w:sz w:val="24"/>
                <w:szCs w:val="24"/>
              </w:rPr>
              <w:t>КурганскогорайонногосудаРостовскойобластиот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855F8B"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решениеНоябрьскогогородскогосудаЯмало</w:t>
            </w:r>
            <w:r w:rsidRPr="005C3241">
              <w:rPr>
                <w:sz w:val="24"/>
                <w:szCs w:val="24"/>
                <w:lang w:val="en-US"/>
              </w:rPr>
              <w:t>-</w:t>
            </w:r>
            <w:r w:rsidRPr="005C3241">
              <w:rPr>
                <w:sz w:val="24"/>
                <w:szCs w:val="24"/>
              </w:rPr>
              <w:t>Ненецкогоавтономногоокругаот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сделановВеликобритании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суда </w:t>
            </w:r>
            <w:r w:rsidRPr="005C3241">
              <w:rPr>
                <w:sz w:val="24"/>
                <w:szCs w:val="24"/>
              </w:rPr>
              <w:lastRenderedPageBreak/>
              <w:t>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8" w:history="1">
              <w:r w:rsidRPr="005C3241">
                <w:rPr>
                  <w:rStyle w:val="a3"/>
                  <w:color w:val="auto"/>
                  <w:sz w:val="24"/>
                  <w:szCs w:val="24"/>
                  <w:u w:val="none"/>
                  <w:lang w:val="en-US"/>
                </w:rPr>
                <w:t>https://muzofond.com/search/%D0%B4%D0%B8%D0%BC%D0%B0%D0%B9</w:t>
              </w:r>
            </w:hyperlink>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изаканчивающимисясловами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выявленныйпоадресу</w:t>
            </w:r>
            <w:r w:rsidRPr="005C3241">
              <w:rPr>
                <w:sz w:val="24"/>
                <w:szCs w:val="24"/>
                <w:lang w:val="en-US"/>
              </w:rPr>
              <w:t>: https://vk.com/zuba95 (</w:t>
            </w:r>
            <w:r w:rsidRPr="005C3241">
              <w:rPr>
                <w:sz w:val="24"/>
                <w:szCs w:val="24"/>
              </w:rPr>
              <w:t>решениеУссурийскогорайонногосудаПриморскогокраяот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w:t>
            </w:r>
            <w:r w:rsidRPr="005C3241">
              <w:rPr>
                <w:sz w:val="24"/>
                <w:szCs w:val="24"/>
              </w:rPr>
              <w:lastRenderedPageBreak/>
              <w:t>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w:t>
            </w:r>
            <w:r w:rsidRPr="005C3241">
              <w:rPr>
                <w:sz w:val="24"/>
                <w:szCs w:val="24"/>
              </w:rPr>
              <w:lastRenderedPageBreak/>
              <w:t>«Будущее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w:t>
            </w:r>
            <w:r w:rsidRPr="005C3241">
              <w:rPr>
                <w:sz w:val="24"/>
                <w:szCs w:val="24"/>
              </w:rPr>
              <w:lastRenderedPageBreak/>
              <w:t>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4293.</w:t>
            </w:r>
          </w:p>
        </w:tc>
        <w:tc>
          <w:tcPr>
            <w:tcW w:w="12045" w:type="dxa"/>
            <w:gridSpan w:val="4"/>
            <w:hideMark/>
          </w:tcPr>
          <w:p w:rsidR="00AC416B" w:rsidRPr="005C3241" w:rsidRDefault="00AC416B" w:rsidP="00AC416B">
            <w:pPr>
              <w:rPr>
                <w:sz w:val="24"/>
                <w:szCs w:val="24"/>
              </w:rPr>
            </w:pPr>
            <w:r w:rsidRPr="005C3241">
              <w:rPr>
                <w:sz w:val="24"/>
                <w:szCs w:val="24"/>
              </w:rPr>
              <w:t xml:space="preserve">Брошюра «Как я отношусь к фракциям крови и медицинским процедурам с использованием собственной крови?» </w:t>
            </w:r>
            <w:r w:rsidRPr="005C3241">
              <w:rPr>
                <w:sz w:val="24"/>
                <w:szCs w:val="24"/>
              </w:rPr>
              <w:lastRenderedPageBreak/>
              <w:t>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w:t>
            </w:r>
            <w:r w:rsidRPr="005C3241">
              <w:rPr>
                <w:sz w:val="24"/>
                <w:szCs w:val="24"/>
              </w:rPr>
              <w:lastRenderedPageBreak/>
              <w:t>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w:t>
            </w:r>
            <w:r w:rsidRPr="005C3241">
              <w:rPr>
                <w:sz w:val="24"/>
                <w:szCs w:val="24"/>
              </w:rPr>
              <w:lastRenderedPageBreak/>
              <w:t>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w:t>
            </w:r>
            <w:r w:rsidRPr="005C3241">
              <w:rPr>
                <w:sz w:val="24"/>
                <w:szCs w:val="24"/>
              </w:rPr>
              <w:lastRenderedPageBreak/>
              <w:t>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w:t>
            </w:r>
            <w:r w:rsidRPr="005C3241">
              <w:rPr>
                <w:sz w:val="24"/>
                <w:szCs w:val="24"/>
              </w:rPr>
              <w:lastRenderedPageBreak/>
              <w:t>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 xml:space="preserve">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w:t>
            </w:r>
            <w:r w:rsidRPr="005C3241">
              <w:rPr>
                <w:sz w:val="24"/>
                <w:szCs w:val="24"/>
              </w:rPr>
              <w:lastRenderedPageBreak/>
              <w:t>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w:t>
            </w:r>
            <w:r w:rsidRPr="005C3241">
              <w:rPr>
                <w:sz w:val="24"/>
                <w:szCs w:val="24"/>
              </w:rPr>
              <w:lastRenderedPageBreak/>
              <w:t>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w:t>
            </w:r>
            <w:r w:rsidRPr="005C3241">
              <w:rPr>
                <w:sz w:val="24"/>
                <w:szCs w:val="24"/>
              </w:rPr>
              <w:lastRenderedPageBreak/>
              <w:t>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w:t>
            </w:r>
            <w:r w:rsidRPr="005C3241">
              <w:rPr>
                <w:sz w:val="24"/>
                <w:szCs w:val="24"/>
              </w:rPr>
              <w:lastRenderedPageBreak/>
              <w:t>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4380.</w:t>
            </w:r>
          </w:p>
        </w:tc>
        <w:tc>
          <w:tcPr>
            <w:tcW w:w="12045" w:type="dxa"/>
            <w:gridSpan w:val="4"/>
            <w:hideMark/>
          </w:tcPr>
          <w:p w:rsidR="00761C3F" w:rsidRPr="005C3241" w:rsidRDefault="00761C3F" w:rsidP="00761C3F">
            <w:pPr>
              <w:rPr>
                <w:sz w:val="24"/>
                <w:szCs w:val="24"/>
              </w:rPr>
            </w:pPr>
            <w:r w:rsidRPr="005C3241">
              <w:rPr>
                <w:sz w:val="24"/>
                <w:szCs w:val="24"/>
              </w:rPr>
              <w:t xml:space="preserve">Электронный экземпляр выпуска журнала «Аль-Ваъй» № 324 (ноябрь 2013 года), за исключением сур, аятов и </w:t>
            </w:r>
            <w:r w:rsidRPr="005C3241">
              <w:rPr>
                <w:sz w:val="24"/>
                <w:szCs w:val="24"/>
              </w:rPr>
              <w:lastRenderedPageBreak/>
              <w:t>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lastRenderedPageBreak/>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w:t>
            </w:r>
            <w:r w:rsidRPr="005C3241">
              <w:rPr>
                <w:sz w:val="24"/>
                <w:szCs w:val="24"/>
              </w:rPr>
              <w:lastRenderedPageBreak/>
              <w:t>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rsidRPr="005C3241">
              <w:rPr>
                <w:sz w:val="24"/>
                <w:szCs w:val="24"/>
              </w:rPr>
              <w:lastRenderedPageBreak/>
              <w:t>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w:t>
            </w:r>
            <w:r w:rsidRPr="005C3241">
              <w:rPr>
                <w:sz w:val="24"/>
                <w:szCs w:val="24"/>
              </w:rPr>
              <w:lastRenderedPageBreak/>
              <w:t xml:space="preserve">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w:t>
            </w:r>
            <w:r w:rsidRPr="005C3241">
              <w:rPr>
                <w:sz w:val="24"/>
                <w:szCs w:val="24"/>
              </w:rPr>
              <w:lastRenderedPageBreak/>
              <w:t>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w:t>
            </w:r>
            <w:r w:rsidRPr="005C3241">
              <w:rPr>
                <w:sz w:val="24"/>
                <w:szCs w:val="24"/>
              </w:rPr>
              <w:lastRenderedPageBreak/>
              <w:t>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4413.</w:t>
            </w:r>
          </w:p>
        </w:tc>
        <w:tc>
          <w:tcPr>
            <w:tcW w:w="12045" w:type="dxa"/>
            <w:gridSpan w:val="4"/>
            <w:hideMark/>
          </w:tcPr>
          <w:p w:rsidR="007468C8" w:rsidRPr="005C3241" w:rsidRDefault="007468C8" w:rsidP="007468C8">
            <w:pPr>
              <w:rPr>
                <w:sz w:val="24"/>
                <w:szCs w:val="24"/>
              </w:rPr>
            </w:pPr>
            <w:r w:rsidRPr="005C3241">
              <w:rPr>
                <w:sz w:val="24"/>
                <w:szCs w:val="24"/>
              </w:rPr>
              <w:t xml:space="preserve">Книга Платонова О.А. «Сионские протоколы в мировой политике» (- М.: «Родная страна», 2015. – 368 с.; ISBN </w:t>
            </w:r>
            <w:r w:rsidRPr="005C3241">
              <w:rPr>
                <w:sz w:val="24"/>
                <w:szCs w:val="24"/>
              </w:rPr>
              <w:lastRenderedPageBreak/>
              <w:t>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lastRenderedPageBreak/>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w:t>
            </w:r>
            <w:r w:rsidRPr="005C3241">
              <w:rPr>
                <w:sz w:val="24"/>
                <w:szCs w:val="24"/>
              </w:rPr>
              <w:lastRenderedPageBreak/>
              <w:t>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w:t>
            </w:r>
            <w:r w:rsidRPr="005C3241">
              <w:rPr>
                <w:sz w:val="24"/>
                <w:szCs w:val="24"/>
              </w:rPr>
              <w:lastRenderedPageBreak/>
              <w:t>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w:t>
            </w:r>
            <w:r w:rsidRPr="005C3241">
              <w:rPr>
                <w:sz w:val="24"/>
                <w:szCs w:val="24"/>
              </w:rPr>
              <w:lastRenderedPageBreak/>
              <w:t>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w:t>
            </w:r>
            <w:r w:rsidRPr="005C3241">
              <w:rPr>
                <w:sz w:val="24"/>
                <w:szCs w:val="24"/>
              </w:rPr>
              <w:lastRenderedPageBreak/>
              <w:t>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6"/>
        <w:gridCol w:w="995"/>
        <w:gridCol w:w="12049"/>
        <w:gridCol w:w="1550"/>
        <w:gridCol w:w="9"/>
        <w:gridCol w:w="1559"/>
      </w:tblGrid>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 xml:space="preserve">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w:t>
            </w:r>
            <w:r w:rsidRPr="005C3241">
              <w:rPr>
                <w:sz w:val="24"/>
                <w:szCs w:val="24"/>
              </w:rPr>
              <w:lastRenderedPageBreak/>
              <w:t>«Некрасивых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Золотыеправилаздоровья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w:t>
            </w:r>
            <w:r w:rsidRPr="005C3241">
              <w:rPr>
                <w:sz w:val="24"/>
                <w:szCs w:val="24"/>
              </w:rPr>
              <w:lastRenderedPageBreak/>
              <w:t>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w:t>
            </w:r>
            <w:r w:rsidRPr="005C3241">
              <w:rPr>
                <w:sz w:val="24"/>
                <w:szCs w:val="24"/>
              </w:rPr>
              <w:lastRenderedPageBreak/>
              <w:t>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w:t>
            </w:r>
            <w:r w:rsidRPr="005C3241">
              <w:rPr>
                <w:sz w:val="24"/>
                <w:szCs w:val="24"/>
              </w:rPr>
              <w:lastRenderedPageBreak/>
              <w:t>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Сотвориему</w:t>
            </w:r>
            <w:r w:rsidRPr="005C3241">
              <w:rPr>
                <w:sz w:val="24"/>
                <w:szCs w:val="24"/>
                <w:lang w:val="en-US"/>
              </w:rPr>
              <w:t xml:space="preserve"> (</w:t>
            </w:r>
            <w:r w:rsidRPr="005C3241">
              <w:rPr>
                <w:sz w:val="24"/>
                <w:szCs w:val="24"/>
              </w:rPr>
              <w:t>надним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Статья под названием «Курч сурактар. Алтайга буддизм канайып кирип jатканы керегинде jартамал» (в переводе </w:t>
            </w:r>
            <w:r w:rsidRPr="005C3241">
              <w:rPr>
                <w:sz w:val="24"/>
                <w:szCs w:val="24"/>
              </w:rPr>
              <w:lastRenderedPageBreak/>
              <w:t>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lastRenderedPageBreak/>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CE26E9">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CE26E9">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lastRenderedPageBreak/>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CE26E9">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CE26E9">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CE26E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w:t>
            </w:r>
            <w:r w:rsidRPr="005C3241">
              <w:rPr>
                <w:sz w:val="24"/>
                <w:szCs w:val="24"/>
              </w:rPr>
              <w:lastRenderedPageBreak/>
              <w:t xml:space="preserve">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w:t>
            </w:r>
            <w:r w:rsidRPr="005C3241">
              <w:rPr>
                <w:sz w:val="24"/>
                <w:szCs w:val="24"/>
              </w:rPr>
              <w:lastRenderedPageBreak/>
              <w:t xml:space="preserve">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w:t>
            </w:r>
            <w:r w:rsidRPr="005C3241">
              <w:rPr>
                <w:sz w:val="24"/>
                <w:szCs w:val="24"/>
              </w:rPr>
              <w:lastRenderedPageBreak/>
              <w:t xml:space="preserve">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 xml:space="preserve">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w:t>
            </w:r>
            <w:r w:rsidRPr="005C3241">
              <w:rPr>
                <w:sz w:val="24"/>
                <w:szCs w:val="24"/>
              </w:rPr>
              <w:lastRenderedPageBreak/>
              <w:t>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t xml:space="preserve">http://www.vk.com/id133046581;  </w:t>
            </w:r>
          </w:p>
          <w:p w:rsidR="006205D4" w:rsidRPr="005C3241" w:rsidRDefault="006205D4" w:rsidP="006205D4">
            <w:pPr>
              <w:rPr>
                <w:sz w:val="24"/>
                <w:szCs w:val="24"/>
              </w:rPr>
            </w:pP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CE26E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lastRenderedPageBreak/>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w:t>
            </w:r>
            <w:r w:rsidRPr="005C3241">
              <w:rPr>
                <w:sz w:val="24"/>
                <w:szCs w:val="24"/>
              </w:rPr>
              <w:lastRenderedPageBreak/>
              <w:t>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w:t>
            </w:r>
            <w:r w:rsidRPr="005C3241">
              <w:rPr>
                <w:sz w:val="24"/>
                <w:szCs w:val="24"/>
              </w:rPr>
              <w:lastRenderedPageBreak/>
              <w:t>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Информационный материал, размещенный по интернет-адресу: </w:t>
            </w:r>
            <w:r w:rsidRPr="005C3241">
              <w:rPr>
                <w:sz w:val="24"/>
                <w:szCs w:val="24"/>
              </w:rPr>
              <w:lastRenderedPageBreak/>
              <w:t>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w:t>
            </w:r>
            <w:r w:rsidRPr="005C3241">
              <w:rPr>
                <w:sz w:val="24"/>
                <w:szCs w:val="24"/>
              </w:rPr>
              <w:lastRenderedPageBreak/>
              <w:t xml:space="preserve">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rsidRPr="005C3241">
              <w:rPr>
                <w:sz w:val="24"/>
                <w:szCs w:val="24"/>
              </w:rPr>
              <w:lastRenderedPageBreak/>
              <w:t>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Информационный материал в форме Интернет-блога «Блог радикального русского националиста», размещенный </w:t>
            </w:r>
            <w:r w:rsidRPr="005C3241">
              <w:rPr>
                <w:sz w:val="24"/>
                <w:szCs w:val="24"/>
              </w:rPr>
              <w:lastRenderedPageBreak/>
              <w:t>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w:t>
            </w:r>
            <w:r w:rsidRPr="005C3241">
              <w:rPr>
                <w:sz w:val="24"/>
                <w:szCs w:val="24"/>
              </w:rPr>
              <w:lastRenderedPageBreak/>
              <w:t>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 xml:space="preserve">Информационный материал - статья «После Кондопоги» Спецназ России № 6 (129) июнь 2007 года, </w:t>
            </w:r>
            <w:r w:rsidRPr="005C3241">
              <w:rPr>
                <w:sz w:val="24"/>
                <w:szCs w:val="24"/>
              </w:rPr>
              <w:lastRenderedPageBreak/>
              <w:t>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lastRenderedPageBreak/>
              <w:t>05.1</w:t>
            </w:r>
            <w:r w:rsidR="00953AD6" w:rsidRPr="005C3241">
              <w:rPr>
                <w:sz w:val="24"/>
                <w:szCs w:val="24"/>
              </w:rPr>
              <w:t>2</w:t>
            </w:r>
            <w:r w:rsidRPr="005C3241">
              <w:rPr>
                <w:sz w:val="24"/>
                <w:szCs w:val="24"/>
              </w:rPr>
              <w:t>.2018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w:t>
            </w:r>
            <w:r w:rsidRPr="005C3241">
              <w:rPr>
                <w:sz w:val="24"/>
                <w:szCs w:val="24"/>
              </w:rPr>
              <w:lastRenderedPageBreak/>
              <w:t>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Видеоролик под названием «Автономы: Как сделать трафарет» размещенный Кожевниковым В.С. на Интернет – </w:t>
            </w:r>
            <w:r w:rsidRPr="005C3241">
              <w:rPr>
                <w:sz w:val="24"/>
                <w:szCs w:val="24"/>
              </w:rPr>
              <w:lastRenderedPageBreak/>
              <w:t>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w:t>
            </w:r>
            <w:r w:rsidRPr="005C3241">
              <w:rPr>
                <w:sz w:val="24"/>
                <w:szCs w:val="24"/>
              </w:rPr>
              <w:lastRenderedPageBreak/>
              <w:t>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w:t>
            </w:r>
            <w:r w:rsidRPr="005C3241">
              <w:rPr>
                <w:sz w:val="24"/>
                <w:szCs w:val="24"/>
              </w:rPr>
              <w:lastRenderedPageBreak/>
              <w:t>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w:t>
            </w:r>
            <w:r w:rsidRPr="005C3241">
              <w:rPr>
                <w:sz w:val="24"/>
                <w:szCs w:val="24"/>
              </w:rPr>
              <w:lastRenderedPageBreak/>
              <w:t>«Правая(наша)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w:t>
            </w:r>
            <w:r w:rsidRPr="005C3241">
              <w:rPr>
                <w:sz w:val="24"/>
                <w:szCs w:val="24"/>
              </w:rPr>
              <w:lastRenderedPageBreak/>
              <w:t>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 xml:space="preserve">Видеоматериал «Чеченец на Майдане», начинающийся со слов мужчины стоящим на сцене «города Аргуна </w:t>
            </w:r>
            <w:r w:rsidRPr="005C3241">
              <w:rPr>
                <w:sz w:val="24"/>
                <w:szCs w:val="24"/>
              </w:rPr>
              <w:lastRenderedPageBreak/>
              <w:t>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w:t>
            </w:r>
            <w:r w:rsidRPr="005C3241">
              <w:rPr>
                <w:sz w:val="24"/>
                <w:szCs w:val="24"/>
              </w:rPr>
              <w:lastRenderedPageBreak/>
              <w:t>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 xml:space="preserve">Стихотворный текст под названием Коловрат - «Вера в НС», начинающийся со слов: «Я горжусь арийской расой, </w:t>
            </w:r>
            <w:r w:rsidRPr="005C3241">
              <w:rPr>
                <w:sz w:val="24"/>
                <w:szCs w:val="24"/>
              </w:rPr>
              <w:lastRenderedPageBreak/>
              <w:t>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t>
            </w:r>
            <w:r w:rsidRPr="005C3241">
              <w:rPr>
                <w:sz w:val="24"/>
                <w:szCs w:val="24"/>
              </w:rPr>
              <w:lastRenderedPageBreak/>
              <w:t>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w:t>
            </w:r>
            <w:r w:rsidRPr="005C3241">
              <w:rPr>
                <w:sz w:val="24"/>
                <w:szCs w:val="24"/>
              </w:rPr>
              <w:lastRenderedPageBreak/>
              <w:t>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w:t>
            </w:r>
            <w:r w:rsidRPr="005C3241">
              <w:rPr>
                <w:sz w:val="24"/>
                <w:szCs w:val="24"/>
              </w:rPr>
              <w:lastRenderedPageBreak/>
              <w:t>(аудиофайлом),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w:t>
            </w:r>
            <w:r w:rsidRPr="005C3241">
              <w:rPr>
                <w:sz w:val="24"/>
                <w:szCs w:val="24"/>
              </w:rPr>
              <w:lastRenderedPageBreak/>
              <w:t>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Текстовые информационные материалы под наименованием «Так говорил Геббельс» (начальные слова: «Речь на </w:t>
            </w:r>
            <w:r w:rsidRPr="005C3241">
              <w:rPr>
                <w:sz w:val="24"/>
                <w:szCs w:val="24"/>
              </w:rPr>
              <w:lastRenderedPageBreak/>
              <w:t>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06.04.2019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w:t>
            </w:r>
            <w:r w:rsidRPr="005C3241">
              <w:rPr>
                <w:sz w:val="24"/>
                <w:szCs w:val="24"/>
              </w:rPr>
              <w:lastRenderedPageBreak/>
              <w:t>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«РОНА – Моя честь называется верность», продолжительностью 03 минуты 45 секунд, </w:t>
            </w:r>
            <w:r w:rsidRPr="005C3241">
              <w:rPr>
                <w:sz w:val="24"/>
                <w:szCs w:val="24"/>
              </w:rPr>
              <w:lastRenderedPageBreak/>
              <w:t>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lastRenderedPageBreak/>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Книга «Памятка русскому человеку», автор В. Ушкуйник, 2 экземпляра (М.: «Капь», 1993 – 64 с., М.: «Витязь», </w:t>
            </w:r>
            <w:r w:rsidRPr="005C3241">
              <w:rPr>
                <w:sz w:val="24"/>
                <w:szCs w:val="24"/>
              </w:rPr>
              <w:lastRenderedPageBreak/>
              <w:t>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lastRenderedPageBreak/>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w:t>
            </w:r>
            <w:r w:rsidRPr="009252F7">
              <w:rPr>
                <w:sz w:val="24"/>
                <w:szCs w:val="24"/>
              </w:rPr>
              <w:lastRenderedPageBreak/>
              <w:t>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Бейногамиэтомясо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w:t>
            </w:r>
            <w:r w:rsidRPr="009252F7">
              <w:rPr>
                <w:sz w:val="24"/>
                <w:szCs w:val="24"/>
              </w:rPr>
              <w:lastRenderedPageBreak/>
              <w:t>восстал против банка (слово зачеркнуто) жида!»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w:t>
            </w:r>
            <w:r w:rsidRPr="002B4A45">
              <w:rPr>
                <w:sz w:val="24"/>
                <w:szCs w:val="24"/>
              </w:rPr>
              <w:lastRenderedPageBreak/>
              <w:t>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 xml:space="preserve">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w:t>
            </w:r>
            <w:r w:rsidRPr="006B1B82">
              <w:rPr>
                <w:sz w:val="24"/>
                <w:szCs w:val="24"/>
              </w:rPr>
              <w:lastRenderedPageBreak/>
              <w:t>заканчивающаяся словами «…это не фашизм» (решение Центрального районного суда г. Читы от 21.06.2019);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lastRenderedPageBreak/>
              <w:t>13.09.2019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lastRenderedPageBreak/>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Развали «нецензурная лексика» шавке [«АпартеиД»]», продолжительностью 2 </w:t>
            </w:r>
            <w:r w:rsidRPr="003D43D9">
              <w:rPr>
                <w:sz w:val="24"/>
                <w:szCs w:val="24"/>
              </w:rPr>
              <w:lastRenderedPageBreak/>
              <w:t>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«Хабюад управляет большинством стран мира! Здесь доказательства (Дэвид Дюк)», начинающаяся </w:t>
            </w:r>
            <w:r w:rsidRPr="003D43D9">
              <w:rPr>
                <w:sz w:val="24"/>
                <w:szCs w:val="24"/>
              </w:rPr>
              <w:lastRenderedPageBreak/>
              <w:t>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«Россия в жидовской оккупации - Документальный фильм о непростой судьбе», </w:t>
            </w:r>
            <w:r w:rsidRPr="003D43D9">
              <w:rPr>
                <w:sz w:val="24"/>
                <w:szCs w:val="24"/>
              </w:rPr>
              <w:lastRenderedPageBreak/>
              <w:t>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w:t>
            </w:r>
            <w:r w:rsidRPr="003D43D9">
              <w:rPr>
                <w:sz w:val="24"/>
                <w:szCs w:val="24"/>
              </w:rPr>
              <w:lastRenderedPageBreak/>
              <w:t>разрешаться проблемы и на Украине»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w:t>
            </w:r>
            <w:r w:rsidRPr="00855F8B">
              <w:rPr>
                <w:sz w:val="24"/>
                <w:szCs w:val="24"/>
              </w:rPr>
              <w:lastRenderedPageBreak/>
              <w:t>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 xml:space="preserve">Аудиовизуальный файл «Как евреи уничтожают Рода Асов», продолжительностью 7 минут 40 секунд, </w:t>
            </w:r>
            <w:r w:rsidRPr="00CB77CE">
              <w:rPr>
                <w:sz w:val="24"/>
                <w:szCs w:val="24"/>
              </w:rPr>
              <w:lastRenderedPageBreak/>
              <w:t>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09.12.2019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bookmarkStart w:id="2" w:name="_GoBack"/>
            <w:bookmarkEnd w:id="2"/>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w:t>
            </w:r>
            <w:r w:rsidRPr="00D14D14">
              <w:rPr>
                <w:sz w:val="24"/>
                <w:szCs w:val="24"/>
              </w:rPr>
              <w:lastRenderedPageBreak/>
              <w:t>Республики Башкортостан от 27.11.2019);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20.02.2020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 xml:space="preserve">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w:t>
            </w:r>
            <w:r w:rsidRPr="00CE26E9">
              <w:rPr>
                <w:sz w:val="24"/>
                <w:szCs w:val="24"/>
              </w:rPr>
              <w:lastRenderedPageBreak/>
              <w:t>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10.03.2020</w:t>
            </w:r>
          </w:p>
        </w:tc>
      </w:tr>
    </w:tbl>
    <w:p w:rsidR="00CE26E9" w:rsidRPr="005C3241" w:rsidRDefault="00CE26E9" w:rsidP="003B76C5">
      <w:pPr>
        <w:rPr>
          <w:sz w:val="24"/>
          <w:szCs w:val="24"/>
        </w:rPr>
      </w:pPr>
    </w:p>
    <w:sectPr w:rsidR="00CE26E9" w:rsidRPr="005C3241"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6DE" w:rsidRDefault="009256DE">
      <w:r>
        <w:separator/>
      </w:r>
    </w:p>
  </w:endnote>
  <w:endnote w:type="continuationSeparator" w:id="1">
    <w:p w:rsidR="009256DE" w:rsidRDefault="00925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6DE" w:rsidRDefault="009256DE">
      <w:r>
        <w:separator/>
      </w:r>
    </w:p>
  </w:footnote>
  <w:footnote w:type="continuationSeparator" w:id="1">
    <w:p w:rsidR="009256DE" w:rsidRDefault="00925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B16C85" w:rsidP="00AF6A07">
    <w:pPr>
      <w:pStyle w:val="a6"/>
      <w:framePr w:wrap="around" w:vAnchor="text" w:hAnchor="margin" w:xAlign="center" w:y="1"/>
      <w:rPr>
        <w:rStyle w:val="a5"/>
      </w:rPr>
    </w:pPr>
    <w:r>
      <w:rPr>
        <w:rStyle w:val="a5"/>
      </w:rPr>
      <w:fldChar w:fldCharType="begin"/>
    </w:r>
    <w:r w:rsidR="00765642">
      <w:rPr>
        <w:rStyle w:val="a5"/>
      </w:rPr>
      <w:instrText xml:space="preserve">PAGE  </w:instrText>
    </w:r>
    <w:r>
      <w:rPr>
        <w:rStyle w:val="a5"/>
      </w:rPr>
      <w:fldChar w:fldCharType="end"/>
    </w:r>
  </w:p>
  <w:p w:rsidR="00765642" w:rsidRDefault="007656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B16C85" w:rsidP="00130459">
    <w:pPr>
      <w:pStyle w:val="a6"/>
      <w:jc w:val="center"/>
    </w:pPr>
    <w:r>
      <w:fldChar w:fldCharType="begin"/>
    </w:r>
    <w:r w:rsidR="00765642">
      <w:instrText>PAGE   \* MERGEFORMAT</w:instrText>
    </w:r>
    <w:r>
      <w:fldChar w:fldCharType="separate"/>
    </w:r>
    <w:r w:rsidR="00E658E1">
      <w:rPr>
        <w:noProof/>
      </w:rPr>
      <w:t>552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765642">
    <w:pPr>
      <w:pStyle w:val="a6"/>
      <w:jc w:val="center"/>
    </w:pPr>
  </w:p>
  <w:p w:rsidR="00765642" w:rsidRDefault="007656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256DE"/>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16C85"/>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658E1"/>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C85"/>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0678-1C42-4D79-8051-4F5EE881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226810</Words>
  <Characters>1292818</Characters>
  <Application>Microsoft Office Word</Application>
  <DocSecurity>0</DocSecurity>
  <Lines>10773</Lines>
  <Paragraphs>3033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1516595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1</cp:lastModifiedBy>
  <cp:revision>3</cp:revision>
  <cp:lastPrinted>2016-04-27T13:02:00Z</cp:lastPrinted>
  <dcterms:created xsi:type="dcterms:W3CDTF">2020-05-27T09:02:00Z</dcterms:created>
  <dcterms:modified xsi:type="dcterms:W3CDTF">2020-05-27T09:02:00Z</dcterms:modified>
</cp:coreProperties>
</file>